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RETRATO DAS EMPRESAS DO BRASIL 2026 · NOTA DE METODOLOGIA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Como o estudo foi feito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Fontes, recortes e o que cada tipo de número significa. A metodologia completa está no site.</w:t>
      </w:r>
    </w:p>
    <w:p>
      <w:pPr>
        <w:pStyle w:val="ListParagraph"/>
        <w:numPr>
          <w:ilvl w:val="0"/>
          <w:numId w:val="2"/>
        </w:numPr>
        <w:spacing w:after="120" w:line="300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Fonte principal. </w:t>
      </w:r>
      <w:r>
        <w:rPr>
          <w:rFonts w:ascii="Calibri" w:cs="Calibri" w:eastAsia="Calibri" w:hAnsi="Calibri"/>
          <w:color w:val="16161D"/>
          <w:sz w:val="22"/>
          <w:szCs w:val="22"/>
        </w:rPr>
        <w:t xml:space="preserve">Dados abertos de CNPJ da Receita Federal. A base estrutural é a edição de agosto de 2026 (corte em 9 de agosto); a série mensal, os movimentos entre edições e as saídas do Simples vão até a edição de outubro (corte em 11 de outubro).</w:t>
      </w:r>
    </w:p>
    <w:p>
      <w:pPr>
        <w:pStyle w:val="ListParagraph"/>
        <w:numPr>
          <w:ilvl w:val="0"/>
          <w:numId w:val="2"/>
        </w:numPr>
        <w:spacing w:after="120" w:line="300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Universo. </w:t>
      </w:r>
      <w:r>
        <w:rPr>
          <w:rFonts w:ascii="Calibri" w:cs="Calibri" w:eastAsia="Calibri" w:hAnsi="Calibri"/>
          <w:color w:val="16161D"/>
          <w:sz w:val="22"/>
          <w:szCs w:val="22"/>
        </w:rPr>
        <w:t xml:space="preserve">Empresas: entidades empresariais e empresários individuais com CNPJ, contadas pelo CNPJ matriz. Associações, igrejas, condomínios e órgãos públicos ficam fora (com eles, o cadastro tem 26,8 milhões de CNPJs ativos).</w:t>
      </w:r>
    </w:p>
    <w:p>
      <w:pPr>
        <w:pStyle w:val="ListParagraph"/>
        <w:numPr>
          <w:ilvl w:val="0"/>
          <w:numId w:val="2"/>
        </w:numPr>
        <w:spacing w:after="120" w:line="300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Outras fontes. </w:t>
      </w:r>
      <w:r>
        <w:rPr>
          <w:rFonts w:ascii="Calibri" w:cs="Calibri" w:eastAsia="Calibri" w:hAnsi="Calibri"/>
          <w:color w:val="16161D"/>
          <w:sz w:val="22"/>
          <w:szCs w:val="22"/>
        </w:rPr>
        <w:t xml:space="preserve">IBGE (CEMPRE, Demografia das Empresas, PIB), Ministério do Trabalho (PAT, posição de 31/03/2026), CVM (DFP e Formulário de Referência), PGFN (Dívida Ativa), Receita (DIRBI, estatísticas do Simples), PNCP, ANS, Anatel, ANEEL, Inep, CNES e BNDES.</w:t>
      </w:r>
    </w:p>
    <w:p>
      <w:pPr>
        <w:pStyle w:val="ListParagraph"/>
        <w:numPr>
          <w:ilvl w:val="0"/>
          <w:numId w:val="2"/>
        </w:numPr>
        <w:spacing w:after="120" w:line="300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Observado, estimativa e hipótese. </w:t>
      </w:r>
      <w:r>
        <w:rPr>
          <w:rFonts w:ascii="Calibri" w:cs="Calibri" w:eastAsia="Calibri" w:hAnsi="Calibri"/>
          <w:color w:val="16161D"/>
          <w:sz w:val="22"/>
          <w:szCs w:val="22"/>
        </w:rPr>
        <w:t xml:space="preserve">Todo número é dado observado, exceto os marcados como estimativa (cálculo do estudo a partir de mais de uma fonte, como o Porte Waxi) ou hipótese (explicação provável que os dados não comprovam sozinhos).</w:t>
      </w:r>
    </w:p>
    <w:p>
      <w:pPr>
        <w:pStyle w:val="ListParagraph"/>
        <w:numPr>
          <w:ilvl w:val="0"/>
          <w:numId w:val="2"/>
        </w:numPr>
        <w:spacing w:after="120" w:line="300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Porte Waxi. </w:t>
      </w:r>
      <w:r>
        <w:rPr>
          <w:rFonts w:ascii="Calibri" w:cs="Calibri" w:eastAsia="Calibri" w:hAnsi="Calibri"/>
          <w:color w:val="16161D"/>
          <w:sz w:val="22"/>
          <w:szCs w:val="22"/>
        </w:rPr>
        <w:t xml:space="preserve">Mede o tamanho em réguas separadas: receita (balanço na CVM, capital social, porte informado ao BNDES), emprego (PAT) e capacidade registrada em reguladores. Só 47 mil empresas têm evidência direta; o resto vem de sinais indiretos.</w:t>
      </w:r>
    </w:p>
    <w:p>
      <w:pPr>
        <w:pStyle w:val="ListParagraph"/>
        <w:numPr>
          <w:ilvl w:val="0"/>
          <w:numId w:val="2"/>
        </w:numPr>
        <w:spacing w:after="120" w:line="300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Sobrevivência. </w:t>
      </w:r>
      <w:r>
        <w:rPr>
          <w:rFonts w:ascii="Calibri" w:cs="Calibri" w:eastAsia="Calibri" w:hAnsi="Calibri"/>
          <w:color w:val="16161D"/>
          <w:sz w:val="22"/>
          <w:szCs w:val="22"/>
        </w:rPr>
        <w:t xml:space="preserve">Situação cinco anos após a abertura, reconstruída a partir da data da situação atual no cadastro, para as empresas abertas entre agosto de 2018 e agosto de 2021.</w:t>
      </w:r>
    </w:p>
    <w:p>
      <w:pPr>
        <w:pStyle w:val="ListParagraph"/>
        <w:numPr>
          <w:ilvl w:val="0"/>
          <w:numId w:val="2"/>
        </w:numPr>
        <w:spacing w:after="120" w:line="300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Privacidade. </w:t>
      </w:r>
      <w:r>
        <w:rPr>
          <w:rFonts w:ascii="Calibri" w:cs="Calibri" w:eastAsia="Calibri" w:hAnsi="Calibri"/>
          <w:color w:val="16161D"/>
          <w:sz w:val="22"/>
          <w:szCs w:val="22"/>
        </w:rPr>
        <w:t xml:space="preserve">Só agregados, sem nomes, CPFs ou contatos. Recortes com 1 a 9 empresas não são publicados (aparecem como “menos de 10”).</w:t>
      </w:r>
    </w:p>
    <w:p>
      <w:pPr>
        <w:pStyle w:val="ListParagraph"/>
        <w:numPr>
          <w:ilvl w:val="0"/>
          <w:numId w:val="2"/>
        </w:numPr>
        <w:spacing w:after="120" w:line="300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Reprodução. </w:t>
      </w:r>
      <w:r>
        <w:rPr>
          <w:rFonts w:ascii="Calibri" w:cs="Calibri" w:eastAsia="Calibri" w:hAnsi="Calibri"/>
          <w:color w:val="16161D"/>
          <w:sz w:val="22"/>
          <w:szCs w:val="22"/>
        </w:rPr>
        <w:t xml:space="preserve">As tabelas estão em CSV sob licença CC BY 4.0 (dados derivados da ANEEL e do BNDES sob ODbL). O livro de números traz a fonte, o período e a regra de cálculo de cada número publicado.</w:t>
      </w:r>
    </w:p>
    <w:p>
      <w:pPr>
        <w:pStyle w:val="ListParagraph"/>
        <w:numPr>
          <w:ilvl w:val="0"/>
          <w:numId w:val="2"/>
        </w:numPr>
        <w:spacing w:after="120" w:line="300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Atualização. </w:t>
      </w:r>
      <w:r>
        <w:rPr>
          <w:rFonts w:ascii="Calibri" w:cs="Calibri" w:eastAsia="Calibri" w:hAnsi="Calibri"/>
          <w:color w:val="16161D"/>
          <w:sz w:val="22"/>
          <w:szCs w:val="22"/>
        </w:rPr>
        <w:t xml:space="preserve">Os movimentos do cadastro são atualizados a cada edição mensal da Receita; a base completa é refeita a cada trimestre. Correções e atualizações: </w:t>
      </w:r>
      <w:hyperlink w:history="1" r:id="rIdhroidi9r-av6zwliakhbg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https://www.waxi.com.br/retrato-empresas-brasil/2026/correcoes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Metodologia completa: </w:t>
      </w:r>
      <w:hyperlink w:history="1" r:id="rIdnsasf7bvktkgiamynl6hg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https://www.waxi.com.br/retrato-empresas-brasil/2026/metodologia</w:t>
        </w:r>
      </w:hyperlink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oidi9r-av6zwliakhbg" Type="http://schemas.openxmlformats.org/officeDocument/2006/relationships/hyperlink" Target="https://www.waxi.com.br/retrato-empresas-brasil/2026/correcoes" TargetMode="External"/><Relationship Id="rIdnsasf7bvktkgiamynl6hg" Type="http://schemas.openxmlformats.org/officeDocument/2006/relationships/hyperlink" Target="https://www.waxi.com.br/retrato-empresas-brasil/2026/metodologia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Como o estudo foi feito</dc:title>
  <dc:creator>Waxi</dc:creator>
  <cp:lastModifiedBy>Un-named</cp:lastModifiedBy>
  <cp:revision>1</cp:revision>
  <dcterms:created xsi:type="dcterms:W3CDTF">2026-10-15T00:28:19.114Z</dcterms:created>
  <dcterms:modified xsi:type="dcterms:W3CDTF">2026-10-15T00:28:19.114Z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